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283D44">
        <w:rPr>
          <w:rFonts w:ascii="Times New Roman" w:hAnsi="Times New Roman" w:cs="Times New Roman"/>
          <w:sz w:val="30"/>
          <w:szCs w:val="30"/>
        </w:rPr>
        <w:t>60</w:t>
      </w:r>
      <w:bookmarkStart w:id="0" w:name="_GoBack"/>
      <w:bookmarkEnd w:id="0"/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D22229" w:rsidRPr="00D22229">
        <w:rPr>
          <w:rFonts w:ascii="Times New Roman" w:hAnsi="Times New Roman" w:cs="Times New Roman"/>
          <w:sz w:val="30"/>
          <w:szCs w:val="30"/>
        </w:rPr>
        <w:t>20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D12487" w:rsidRPr="009F6AAC" w:rsidRDefault="00B561A7" w:rsidP="00D12487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оставщика на закупку </w:t>
      </w:r>
      <w:r w:rsidR="00D12487" w:rsidRPr="009F6AAC">
        <w:rPr>
          <w:rFonts w:ascii="Times New Roman" w:hAnsi="Times New Roman" w:cs="Times New Roman"/>
          <w:color w:val="000000"/>
          <w:sz w:val="30"/>
          <w:szCs w:val="30"/>
        </w:rPr>
        <w:t>товар</w:t>
      </w:r>
      <w:r w:rsidR="00D12487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D12487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D12487" w:rsidRPr="0012022B" w:rsidRDefault="00D12487" w:rsidP="00D12487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3004E2">
        <w:rPr>
          <w:rFonts w:ascii="Times New Roman" w:hAnsi="Times New Roman" w:cs="Times New Roman"/>
          <w:color w:val="000000"/>
          <w:sz w:val="30"/>
          <w:szCs w:val="30"/>
        </w:rPr>
        <w:t xml:space="preserve">Шланг для пылесоса централизованной </w:t>
      </w:r>
      <w:r>
        <w:rPr>
          <w:rFonts w:ascii="Times New Roman" w:hAnsi="Times New Roman" w:cs="Times New Roman"/>
          <w:color w:val="000000"/>
          <w:sz w:val="30"/>
          <w:szCs w:val="30"/>
        </w:rPr>
        <w:t>пыле</w:t>
      </w:r>
      <w:r w:rsidRPr="003004E2">
        <w:rPr>
          <w:rFonts w:ascii="Times New Roman" w:hAnsi="Times New Roman" w:cs="Times New Roman"/>
          <w:color w:val="000000"/>
          <w:sz w:val="30"/>
          <w:szCs w:val="30"/>
        </w:rPr>
        <w:t>уборки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D124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>есто нахождения: Республика Беларусь, г.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="00660F02" w:rsidRPr="00660F02">
        <w:rPr>
          <w:rFonts w:ascii="Times New Roman" w:hAnsi="Times New Roman" w:cs="Times New Roman"/>
          <w:sz w:val="30"/>
          <w:szCs w:val="30"/>
        </w:rPr>
        <w:t>Р/с: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«Беларусбанк»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263056" w:rsidRDefault="00370E4E" w:rsidP="00263056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</w:p>
    <w:p w:rsidR="005B5162" w:rsidRPr="00191814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26305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з</w:t>
      </w:r>
      <w:r w:rsidR="00263056" w:rsidRPr="0026305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аведующий отделом обслуживания теплотехнического и сантехнического оборудования Чеботаренко Дмитрий Владимирович,  </w:t>
      </w:r>
      <w:r w:rsidR="004E164E" w:rsidRPr="004E164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263056" w:rsidRPr="0026305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тел.: +375</w:t>
      </w:r>
      <w:r w:rsidR="004E164E" w:rsidRPr="004E164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17</w:t>
      </w:r>
      <w:r w:rsidR="00263056" w:rsidRPr="0026305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2932533, моб.: +37544 7333873</w:t>
      </w:r>
      <w:r w:rsidR="00EC52A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</w:p>
    <w:p w:rsidR="00335C12" w:rsidRPr="00321633" w:rsidRDefault="00263056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сп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равки и консультации по организационным вопросам (секретарь конкурсной комиссии):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ведущий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специалист по организации закупок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Атрашкевич Мария Викторовна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тел.: +37517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293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27 55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 моб.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+375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33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640 65</w:t>
      </w:r>
      <w:r w:rsidR="005B5162" w:rsidRPr="009B264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9737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факс: 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+37517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266 37 41.</w:t>
      </w:r>
    </w:p>
    <w:p w:rsidR="0097375A" w:rsidRPr="0097375A" w:rsidRDefault="0053408A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omt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nlb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97375A" w:rsidRPr="0097375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97375A" w:rsidRPr="005B16F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="0097375A" w:rsidRPr="0097375A">
        <w:rPr>
          <w:rFonts w:ascii="Times New Roman" w:hAnsi="Times New Roman" w:cs="Times New Roman"/>
          <w:sz w:val="30"/>
          <w:szCs w:val="30"/>
        </w:rPr>
        <w:t>.</w:t>
      </w:r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6D62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12487" w:rsidRPr="003004E2">
        <w:rPr>
          <w:rFonts w:ascii="Times New Roman" w:hAnsi="Times New Roman" w:cs="Times New Roman"/>
          <w:color w:val="000000"/>
          <w:sz w:val="30"/>
          <w:szCs w:val="30"/>
        </w:rPr>
        <w:t xml:space="preserve">Шланг для пылесоса централизованной </w:t>
      </w:r>
      <w:r w:rsidR="00D12487">
        <w:rPr>
          <w:rFonts w:ascii="Times New Roman" w:hAnsi="Times New Roman" w:cs="Times New Roman"/>
          <w:color w:val="000000"/>
          <w:sz w:val="30"/>
          <w:szCs w:val="30"/>
        </w:rPr>
        <w:t>пыле</w:t>
      </w:r>
      <w:r w:rsidR="00D12487" w:rsidRPr="003004E2">
        <w:rPr>
          <w:rFonts w:ascii="Times New Roman" w:hAnsi="Times New Roman" w:cs="Times New Roman"/>
          <w:color w:val="000000"/>
          <w:sz w:val="30"/>
          <w:szCs w:val="30"/>
        </w:rPr>
        <w:t>уборки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05320D" w:rsidRDefault="00CE041D" w:rsidP="00512D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D1248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22.21.29.200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D12487" w:rsidRPr="00D1248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Трубы, трубки и шланги из пластмасс гибкие, выдерживающие давление до 27,6 МПа</w:t>
      </w:r>
      <w:r w:rsidR="008C57E0"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D12487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5</w:t>
      </w:r>
      <w:r w:rsidR="00512D2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шт.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1248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="00512D24" w:rsidRPr="00512D2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000,00 (</w:t>
      </w:r>
      <w:r w:rsidR="00D1248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шесть</w:t>
      </w:r>
      <w:r w:rsidR="00512D24" w:rsidRPr="00512D2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тысяч) белорусских рублей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Минск, пр-т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3417D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до 25</w:t>
      </w:r>
      <w:r w:rsidR="00512D2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.06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.2020.</w:t>
      </w:r>
    </w:p>
    <w:p w:rsidR="007C2CF4" w:rsidRPr="007C2CF4" w:rsidRDefault="007C2CF4" w:rsidP="00F129FA">
      <w:pPr>
        <w:jc w:val="both"/>
        <w:rPr>
          <w:rFonts w:ascii="Times New Roman" w:eastAsia="Times New Roman" w:hAnsi="Times New Roman" w:cs="Times New Roman"/>
          <w:kern w:val="0"/>
          <w:szCs w:val="20"/>
          <w:lang w:eastAsia="en-US" w:bidi="ar-SA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информационном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.by»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1F481A">
        <w:rPr>
          <w:rFonts w:ascii="Times New Roman" w:hAnsi="Times New Roman" w:cs="Times New Roman"/>
          <w:sz w:val="30"/>
          <w:szCs w:val="30"/>
        </w:rPr>
        <w:t xml:space="preserve">с </w:t>
      </w:r>
      <w:r w:rsidR="00512D24">
        <w:rPr>
          <w:rFonts w:ascii="Times New Roman" w:hAnsi="Times New Roman" w:cs="Times New Roman"/>
          <w:sz w:val="30"/>
          <w:szCs w:val="30"/>
        </w:rPr>
        <w:t>16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Pr="001F481A">
        <w:rPr>
          <w:rFonts w:ascii="Times New Roman" w:hAnsi="Times New Roman" w:cs="Times New Roman"/>
          <w:sz w:val="30"/>
          <w:szCs w:val="30"/>
        </w:rPr>
        <w:t>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 xml:space="preserve"> по </w:t>
      </w:r>
      <w:r w:rsidR="00512D24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Pr="001F481A">
        <w:rPr>
          <w:rFonts w:ascii="Times New Roman" w:hAnsi="Times New Roman" w:cs="Times New Roman"/>
          <w:sz w:val="30"/>
          <w:szCs w:val="30"/>
        </w:rPr>
        <w:t>.20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 w:rsidRPr="001F481A">
        <w:rPr>
          <w:rFonts w:ascii="Times New Roman" w:hAnsi="Times New Roman" w:cs="Times New Roman"/>
          <w:sz w:val="30"/>
          <w:szCs w:val="30"/>
        </w:rPr>
        <w:t>0</w:t>
      </w:r>
      <w:r w:rsidRPr="001F481A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</w:t>
      </w:r>
      <w:r w:rsidRPr="001F481A">
        <w:rPr>
          <w:rFonts w:ascii="Times New Roman" w:hAnsi="Times New Roman" w:cs="Times New Roman"/>
          <w:sz w:val="30"/>
          <w:szCs w:val="30"/>
        </w:rPr>
        <w:t xml:space="preserve">участниками с </w:t>
      </w:r>
      <w:r w:rsidR="001F481A" w:rsidRPr="001F481A">
        <w:rPr>
          <w:rFonts w:ascii="Times New Roman" w:hAnsi="Times New Roman" w:cs="Times New Roman"/>
          <w:sz w:val="30"/>
          <w:szCs w:val="30"/>
        </w:rPr>
        <w:t>1</w:t>
      </w:r>
      <w:r w:rsidR="00512D24">
        <w:rPr>
          <w:rFonts w:ascii="Times New Roman" w:hAnsi="Times New Roman" w:cs="Times New Roman"/>
          <w:sz w:val="30"/>
          <w:szCs w:val="30"/>
        </w:rPr>
        <w:t>6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Pr="001F481A">
        <w:rPr>
          <w:rFonts w:ascii="Times New Roman" w:hAnsi="Times New Roman" w:cs="Times New Roman"/>
          <w:sz w:val="30"/>
          <w:szCs w:val="30"/>
        </w:rPr>
        <w:t>.20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 xml:space="preserve"> по </w:t>
      </w:r>
      <w:r w:rsidR="00512D24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Pr="001F481A">
        <w:rPr>
          <w:rFonts w:ascii="Times New Roman" w:hAnsi="Times New Roman" w:cs="Times New Roman"/>
          <w:sz w:val="30"/>
          <w:szCs w:val="30"/>
        </w:rPr>
        <w:t>.20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по </w:t>
      </w:r>
      <w:r w:rsidR="00370E4E" w:rsidRPr="00BE306A">
        <w:rPr>
          <w:rFonts w:ascii="Times New Roman" w:hAnsi="Times New Roman" w:cs="Times New Roman"/>
          <w:sz w:val="30"/>
          <w:szCs w:val="30"/>
        </w:rPr>
        <w:t>тел.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+375</w:t>
      </w:r>
      <w:r w:rsidR="0006336D">
        <w:rPr>
          <w:rFonts w:ascii="Times New Roman" w:hAnsi="Times New Roman" w:cs="Times New Roman"/>
          <w:sz w:val="30"/>
          <w:szCs w:val="30"/>
        </w:rPr>
        <w:t>33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 </w:t>
      </w:r>
      <w:r w:rsidR="0006336D">
        <w:rPr>
          <w:rFonts w:ascii="Times New Roman" w:hAnsi="Times New Roman" w:cs="Times New Roman"/>
          <w:sz w:val="30"/>
          <w:szCs w:val="30"/>
        </w:rPr>
        <w:t>640 65 40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06336D">
        <w:rPr>
          <w:rFonts w:ascii="Times New Roman" w:hAnsi="Times New Roman" w:cs="Times New Roman"/>
          <w:sz w:val="30"/>
          <w:szCs w:val="30"/>
        </w:rPr>
        <w:t>7755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06336D">
        <w:rPr>
          <w:rFonts w:ascii="Times New Roman" w:hAnsi="Times New Roman" w:cs="Times New Roman"/>
          <w:sz w:val="30"/>
          <w:szCs w:val="30"/>
        </w:rPr>
        <w:t>Мария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955EDC">
        <w:rPr>
          <w:rFonts w:ascii="Times New Roman" w:hAnsi="Times New Roman" w:cs="Times New Roman"/>
          <w:sz w:val="30"/>
          <w:szCs w:val="30"/>
        </w:rPr>
        <w:t>п</w:t>
      </w:r>
      <w:r w:rsidR="00941898">
        <w:rPr>
          <w:rFonts w:ascii="Times New Roman" w:hAnsi="Times New Roman" w:cs="Times New Roman"/>
          <w:sz w:val="30"/>
          <w:szCs w:val="30"/>
        </w:rPr>
        <w:t>оставщика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955EDC">
        <w:rPr>
          <w:rFonts w:ascii="Times New Roman" w:hAnsi="Times New Roman" w:cs="Times New Roman"/>
          <w:sz w:val="30"/>
          <w:szCs w:val="30"/>
        </w:rPr>
        <w:t>товара</w:t>
      </w:r>
      <w:r w:rsidRPr="00D16031">
        <w:rPr>
          <w:rFonts w:ascii="Times New Roman" w:hAnsi="Times New Roman" w:cs="Times New Roman"/>
          <w:sz w:val="30"/>
          <w:szCs w:val="30"/>
        </w:rPr>
        <w:t>: «указать наименование предмета закупки по каждому Лоту, на который заявляется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1F481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512D24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Pr="001F481A">
        <w:rPr>
          <w:rFonts w:ascii="Times New Roman" w:hAnsi="Times New Roman" w:cs="Times New Roman"/>
          <w:sz w:val="30"/>
          <w:szCs w:val="30"/>
        </w:rPr>
        <w:t>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 xml:space="preserve"> </w:t>
      </w:r>
      <w:r w:rsidR="00F91F8E" w:rsidRPr="001F481A">
        <w:rPr>
          <w:rFonts w:ascii="Times New Roman" w:hAnsi="Times New Roman" w:cs="Times New Roman"/>
          <w:sz w:val="30"/>
          <w:szCs w:val="30"/>
        </w:rPr>
        <w:t>(</w:t>
      </w:r>
      <w:r w:rsidRPr="001F481A">
        <w:rPr>
          <w:rFonts w:ascii="Times New Roman" w:hAnsi="Times New Roman" w:cs="Times New Roman"/>
          <w:sz w:val="30"/>
          <w:szCs w:val="30"/>
        </w:rPr>
        <w:t>до 10.</w:t>
      </w:r>
      <w:r w:rsidR="008E5926" w:rsidRPr="001F481A">
        <w:rPr>
          <w:rFonts w:ascii="Times New Roman" w:hAnsi="Times New Roman" w:cs="Times New Roman"/>
          <w:sz w:val="30"/>
          <w:szCs w:val="30"/>
        </w:rPr>
        <w:t>0</w:t>
      </w:r>
      <w:r w:rsidRPr="001F481A">
        <w:rPr>
          <w:rFonts w:ascii="Times New Roman" w:hAnsi="Times New Roman" w:cs="Times New Roman"/>
          <w:sz w:val="30"/>
          <w:szCs w:val="30"/>
        </w:rPr>
        <w:t>0</w:t>
      </w:r>
      <w:r w:rsidR="00F91F8E" w:rsidRPr="001F481A">
        <w:rPr>
          <w:rFonts w:ascii="Times New Roman" w:hAnsi="Times New Roman" w:cs="Times New Roman"/>
          <w:sz w:val="30"/>
          <w:szCs w:val="30"/>
        </w:rPr>
        <w:t>)</w:t>
      </w:r>
      <w:r w:rsidRPr="001F481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1F481A">
        <w:rPr>
          <w:rFonts w:ascii="Times New Roman" w:hAnsi="Times New Roman" w:cs="Times New Roman"/>
          <w:sz w:val="30"/>
          <w:szCs w:val="30"/>
        </w:rPr>
        <w:t>Куда: 220114, г.</w:t>
      </w:r>
      <w:r w:rsidR="00726828" w:rsidRPr="001F481A">
        <w:rPr>
          <w:rFonts w:ascii="Times New Roman" w:hAnsi="Times New Roman" w:cs="Times New Roman"/>
          <w:sz w:val="30"/>
          <w:szCs w:val="30"/>
        </w:rPr>
        <w:t xml:space="preserve"> </w:t>
      </w:r>
      <w:r w:rsidRPr="001F481A">
        <w:rPr>
          <w:rFonts w:ascii="Times New Roman" w:hAnsi="Times New Roman" w:cs="Times New Roman"/>
          <w:sz w:val="30"/>
          <w:szCs w:val="30"/>
        </w:rPr>
        <w:t>Минск, пр-т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</w:t>
      </w:r>
      <w:r w:rsidRPr="00BE306A">
        <w:rPr>
          <w:rFonts w:ascii="Times New Roman" w:hAnsi="Times New Roman" w:cs="Times New Roman"/>
          <w:sz w:val="30"/>
          <w:szCs w:val="30"/>
        </w:rPr>
        <w:lastRenderedPageBreak/>
        <w:t>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1F481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1F481A">
        <w:rPr>
          <w:rFonts w:ascii="Times New Roman" w:hAnsi="Times New Roman" w:cs="Times New Roman"/>
          <w:sz w:val="30"/>
          <w:szCs w:val="30"/>
        </w:rPr>
        <w:t>3.5.</w:t>
      </w:r>
      <w:r w:rsidR="00D16031" w:rsidRPr="001F481A">
        <w:rPr>
          <w:rFonts w:ascii="Times New Roman" w:hAnsi="Times New Roman" w:cs="Times New Roman"/>
          <w:sz w:val="30"/>
          <w:szCs w:val="30"/>
        </w:rPr>
        <w:t> </w:t>
      </w:r>
      <w:r w:rsidRPr="001F481A">
        <w:rPr>
          <w:rFonts w:ascii="Times New Roman" w:hAnsi="Times New Roman" w:cs="Times New Roman"/>
          <w:sz w:val="30"/>
          <w:szCs w:val="30"/>
        </w:rPr>
        <w:t>Вскрытие конвертов с предложениями для переговоров будет проходить по адресу: г.</w:t>
      </w:r>
      <w:r w:rsidR="00E41395" w:rsidRPr="001F481A">
        <w:rPr>
          <w:rFonts w:ascii="Times New Roman" w:hAnsi="Times New Roman" w:cs="Times New Roman"/>
          <w:sz w:val="30"/>
          <w:szCs w:val="30"/>
        </w:rPr>
        <w:t xml:space="preserve"> </w:t>
      </w:r>
      <w:r w:rsidRPr="001F481A">
        <w:rPr>
          <w:rFonts w:ascii="Times New Roman" w:hAnsi="Times New Roman" w:cs="Times New Roman"/>
          <w:sz w:val="30"/>
          <w:szCs w:val="30"/>
        </w:rPr>
        <w:t xml:space="preserve">Минск, пр-т Независимости, 116, в </w:t>
      </w:r>
      <w:r w:rsidR="00D408F1" w:rsidRPr="001F481A">
        <w:rPr>
          <w:rFonts w:ascii="Times New Roman" w:hAnsi="Times New Roman" w:cs="Times New Roman"/>
          <w:sz w:val="30"/>
          <w:szCs w:val="30"/>
        </w:rPr>
        <w:t>1</w:t>
      </w:r>
      <w:r w:rsidR="00512D24">
        <w:rPr>
          <w:rFonts w:ascii="Times New Roman" w:hAnsi="Times New Roman" w:cs="Times New Roman"/>
          <w:sz w:val="30"/>
          <w:szCs w:val="30"/>
        </w:rPr>
        <w:t>0</w:t>
      </w:r>
      <w:r w:rsidRPr="001F481A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D12487">
        <w:rPr>
          <w:rFonts w:ascii="Times New Roman" w:hAnsi="Times New Roman" w:cs="Times New Roman"/>
          <w:sz w:val="30"/>
          <w:szCs w:val="30"/>
        </w:rPr>
        <w:t>4</w:t>
      </w:r>
      <w:r w:rsidRPr="001F481A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512D24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8B4AAB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Pr="001F481A">
        <w:rPr>
          <w:rFonts w:ascii="Times New Roman" w:hAnsi="Times New Roman" w:cs="Times New Roman"/>
          <w:sz w:val="30"/>
          <w:szCs w:val="30"/>
        </w:rPr>
        <w:t>.20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1F481A">
        <w:rPr>
          <w:rFonts w:ascii="Times New Roman" w:hAnsi="Times New Roman" w:cs="Times New Roman"/>
          <w:sz w:val="30"/>
          <w:szCs w:val="30"/>
        </w:rPr>
        <w:t>3.6.</w:t>
      </w:r>
      <w:r w:rsidR="00D16031" w:rsidRPr="001F481A">
        <w:rPr>
          <w:rFonts w:ascii="Times New Roman" w:hAnsi="Times New Roman" w:cs="Times New Roman"/>
          <w:sz w:val="30"/>
          <w:szCs w:val="30"/>
        </w:rPr>
        <w:t> </w:t>
      </w:r>
      <w:r w:rsidRPr="001F481A">
        <w:rPr>
          <w:rFonts w:ascii="Times New Roman" w:hAnsi="Times New Roman" w:cs="Times New Roman"/>
          <w:sz w:val="30"/>
          <w:szCs w:val="30"/>
        </w:rPr>
        <w:t>Переговоры состоятся в 1</w:t>
      </w:r>
      <w:r w:rsidR="00512D24">
        <w:rPr>
          <w:rFonts w:ascii="Times New Roman" w:hAnsi="Times New Roman" w:cs="Times New Roman"/>
          <w:sz w:val="30"/>
          <w:szCs w:val="30"/>
        </w:rPr>
        <w:t>0</w:t>
      </w:r>
      <w:r w:rsidRPr="001F481A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D12487">
        <w:rPr>
          <w:rFonts w:ascii="Times New Roman" w:hAnsi="Times New Roman" w:cs="Times New Roman"/>
          <w:sz w:val="30"/>
          <w:szCs w:val="30"/>
        </w:rPr>
        <w:t>4</w:t>
      </w:r>
      <w:r w:rsidRPr="001F481A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512D24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F60DA6" w:rsidRPr="001F481A">
        <w:rPr>
          <w:rFonts w:ascii="Times New Roman" w:hAnsi="Times New Roman" w:cs="Times New Roman"/>
          <w:sz w:val="30"/>
          <w:szCs w:val="30"/>
        </w:rPr>
        <w:t>.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12D24">
        <w:rPr>
          <w:rFonts w:ascii="Times New Roman" w:hAnsi="Times New Roman" w:cs="Times New Roman"/>
          <w:sz w:val="30"/>
          <w:szCs w:val="30"/>
        </w:rPr>
        <w:t>3</w:t>
      </w:r>
      <w:r w:rsidRPr="001F481A">
        <w:rPr>
          <w:rFonts w:ascii="Times New Roman" w:hAnsi="Times New Roman" w:cs="Times New Roman"/>
          <w:sz w:val="30"/>
          <w:szCs w:val="30"/>
        </w:rPr>
        <w:t>.20</w:t>
      </w:r>
      <w:r w:rsidR="006D62A4" w:rsidRPr="001F481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1F481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 w:rsidRPr="001F481A">
        <w:rPr>
          <w:rFonts w:ascii="Times New Roman" w:hAnsi="Times New Roman" w:cs="Times New Roman"/>
          <w:sz w:val="30"/>
          <w:szCs w:val="30"/>
        </w:rPr>
        <w:br/>
      </w:r>
      <w:r w:rsidRPr="001F481A">
        <w:rPr>
          <w:rFonts w:ascii="Times New Roman" w:hAnsi="Times New Roman" w:cs="Times New Roman"/>
          <w:sz w:val="30"/>
          <w:szCs w:val="30"/>
        </w:rPr>
        <w:t>г.</w:t>
      </w:r>
      <w:r w:rsidR="00334F0A" w:rsidRPr="001F481A">
        <w:rPr>
          <w:rFonts w:ascii="Times New Roman" w:hAnsi="Times New Roman" w:cs="Times New Roman"/>
          <w:sz w:val="30"/>
          <w:szCs w:val="30"/>
        </w:rPr>
        <w:t xml:space="preserve"> </w:t>
      </w:r>
      <w:r w:rsidRPr="001F481A">
        <w:rPr>
          <w:rFonts w:ascii="Times New Roman" w:hAnsi="Times New Roman" w:cs="Times New Roman"/>
          <w:sz w:val="30"/>
          <w:szCs w:val="30"/>
        </w:rPr>
        <w:t>Минск, пр-т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>заны дополнительно 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lastRenderedPageBreak/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F1660A">
        <w:rPr>
          <w:rFonts w:ascii="Times New Roman" w:hAnsi="Times New Roman" w:cs="Times New Roman"/>
          <w:sz w:val="30"/>
          <w:szCs w:val="30"/>
        </w:rPr>
        <w:t xml:space="preserve"> </w:t>
      </w:r>
      <w:r w:rsidR="00F1660A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Организатор переговоров оставляет за собой право на отказ от проведения переговоров на любом их этапе без возмещения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4977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генерального </w:t>
      </w:r>
    </w:p>
    <w:p w:rsidR="007F4977" w:rsidRPr="00BE306A" w:rsidRDefault="00B561A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 w:rsidR="007F4977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по 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4977" w:rsidRPr="00AC674E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E96F6B">
      <w:headerReference w:type="even" r:id="rId7"/>
      <w:headerReference w:type="default" r:id="rId8"/>
      <w:footerReference w:type="even" r:id="rId9"/>
      <w:pgSz w:w="11906" w:h="16838"/>
      <w:pgMar w:top="1134" w:right="70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3" w:rsidRDefault="00BF20A3" w:rsidP="00880DB8">
      <w:r>
        <w:separator/>
      </w:r>
    </w:p>
  </w:endnote>
  <w:endnote w:type="continuationSeparator" w:id="0">
    <w:p w:rsidR="00BF20A3" w:rsidRDefault="00BF20A3" w:rsidP="008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B85224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 w:rsidP="00502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3" w:rsidRDefault="00BF20A3" w:rsidP="00880DB8">
      <w:r>
        <w:separator/>
      </w:r>
    </w:p>
  </w:footnote>
  <w:footnote w:type="continuationSeparator" w:id="0">
    <w:p w:rsidR="00BF20A3" w:rsidRDefault="00BF20A3" w:rsidP="0088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B85224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2938"/>
      <w:docPartObj>
        <w:docPartGallery w:val="Page Numbers (Top of Page)"/>
        <w:docPartUnique/>
      </w:docPartObj>
    </w:sdtPr>
    <w:sdtEndPr/>
    <w:sdtContent>
      <w:p w:rsidR="00BF20A3" w:rsidRDefault="00512D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0A3" w:rsidRDefault="00BF2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1D"/>
    <w:rsid w:val="000272A9"/>
    <w:rsid w:val="000304DE"/>
    <w:rsid w:val="000403B0"/>
    <w:rsid w:val="000500F0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7EF2"/>
    <w:rsid w:val="0017021B"/>
    <w:rsid w:val="00176D2B"/>
    <w:rsid w:val="00184B50"/>
    <w:rsid w:val="00191814"/>
    <w:rsid w:val="00193BF5"/>
    <w:rsid w:val="001956BC"/>
    <w:rsid w:val="001A6A5C"/>
    <w:rsid w:val="001A6B2E"/>
    <w:rsid w:val="001C3041"/>
    <w:rsid w:val="001D2BEC"/>
    <w:rsid w:val="001E363E"/>
    <w:rsid w:val="001E57FA"/>
    <w:rsid w:val="001F481A"/>
    <w:rsid w:val="0020576E"/>
    <w:rsid w:val="00242173"/>
    <w:rsid w:val="00262B6D"/>
    <w:rsid w:val="00263056"/>
    <w:rsid w:val="0026532F"/>
    <w:rsid w:val="002826F8"/>
    <w:rsid w:val="00283D44"/>
    <w:rsid w:val="002A3717"/>
    <w:rsid w:val="002C029C"/>
    <w:rsid w:val="002C5781"/>
    <w:rsid w:val="002D2FA7"/>
    <w:rsid w:val="002D477C"/>
    <w:rsid w:val="002D48A1"/>
    <w:rsid w:val="002D66F1"/>
    <w:rsid w:val="00334F0A"/>
    <w:rsid w:val="00335C12"/>
    <w:rsid w:val="003372EB"/>
    <w:rsid w:val="003417D2"/>
    <w:rsid w:val="00354887"/>
    <w:rsid w:val="00362F40"/>
    <w:rsid w:val="00363EE1"/>
    <w:rsid w:val="00370E4E"/>
    <w:rsid w:val="00390E41"/>
    <w:rsid w:val="00394DDE"/>
    <w:rsid w:val="00396667"/>
    <w:rsid w:val="003A5FE8"/>
    <w:rsid w:val="003F7CB0"/>
    <w:rsid w:val="004157D5"/>
    <w:rsid w:val="00421949"/>
    <w:rsid w:val="00436D9C"/>
    <w:rsid w:val="004463EA"/>
    <w:rsid w:val="0045023F"/>
    <w:rsid w:val="00475E43"/>
    <w:rsid w:val="0049657A"/>
    <w:rsid w:val="0049702A"/>
    <w:rsid w:val="004D173B"/>
    <w:rsid w:val="004E164E"/>
    <w:rsid w:val="004E78A1"/>
    <w:rsid w:val="004F5A1D"/>
    <w:rsid w:val="00502CD4"/>
    <w:rsid w:val="00512D24"/>
    <w:rsid w:val="0053408A"/>
    <w:rsid w:val="00535785"/>
    <w:rsid w:val="0054392B"/>
    <w:rsid w:val="00553BFC"/>
    <w:rsid w:val="00555C68"/>
    <w:rsid w:val="00567B5B"/>
    <w:rsid w:val="005B0D6A"/>
    <w:rsid w:val="005B5162"/>
    <w:rsid w:val="005C0E20"/>
    <w:rsid w:val="005C104E"/>
    <w:rsid w:val="005F520D"/>
    <w:rsid w:val="006003F0"/>
    <w:rsid w:val="00610D6E"/>
    <w:rsid w:val="006305BD"/>
    <w:rsid w:val="006323F3"/>
    <w:rsid w:val="00632A61"/>
    <w:rsid w:val="00635850"/>
    <w:rsid w:val="0064090B"/>
    <w:rsid w:val="00660F02"/>
    <w:rsid w:val="00670BAE"/>
    <w:rsid w:val="0068307E"/>
    <w:rsid w:val="006920ED"/>
    <w:rsid w:val="006B5D6C"/>
    <w:rsid w:val="006D62A4"/>
    <w:rsid w:val="006F3613"/>
    <w:rsid w:val="00704677"/>
    <w:rsid w:val="007102CC"/>
    <w:rsid w:val="00726828"/>
    <w:rsid w:val="00741DD1"/>
    <w:rsid w:val="00744204"/>
    <w:rsid w:val="0077562E"/>
    <w:rsid w:val="00791AF0"/>
    <w:rsid w:val="007A2B39"/>
    <w:rsid w:val="007A65CD"/>
    <w:rsid w:val="007B15B9"/>
    <w:rsid w:val="007C2CF4"/>
    <w:rsid w:val="007D5011"/>
    <w:rsid w:val="007E58C3"/>
    <w:rsid w:val="007F4977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4524"/>
    <w:rsid w:val="0092337F"/>
    <w:rsid w:val="00930C62"/>
    <w:rsid w:val="00937B27"/>
    <w:rsid w:val="00941898"/>
    <w:rsid w:val="00947CE1"/>
    <w:rsid w:val="00955277"/>
    <w:rsid w:val="00955EDC"/>
    <w:rsid w:val="0096690B"/>
    <w:rsid w:val="00966A73"/>
    <w:rsid w:val="0097375A"/>
    <w:rsid w:val="00983A0B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11AA5"/>
    <w:rsid w:val="00A430CF"/>
    <w:rsid w:val="00A66D3A"/>
    <w:rsid w:val="00A66FCA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72FD8"/>
    <w:rsid w:val="00B85224"/>
    <w:rsid w:val="00B8609A"/>
    <w:rsid w:val="00B96A42"/>
    <w:rsid w:val="00BA779E"/>
    <w:rsid w:val="00BC0B1A"/>
    <w:rsid w:val="00BC7439"/>
    <w:rsid w:val="00BF20A3"/>
    <w:rsid w:val="00C10518"/>
    <w:rsid w:val="00C15790"/>
    <w:rsid w:val="00C616EE"/>
    <w:rsid w:val="00CE041D"/>
    <w:rsid w:val="00D05DEC"/>
    <w:rsid w:val="00D12487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62AAF"/>
    <w:rsid w:val="00D923C5"/>
    <w:rsid w:val="00DA1F4D"/>
    <w:rsid w:val="00DE2754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1660A"/>
    <w:rsid w:val="00F455BD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EC532-A083-4B47-AF08-24266F7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t.nlb@yand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128</cp:revision>
  <cp:lastPrinted>2020-02-06T07:29:00Z</cp:lastPrinted>
  <dcterms:created xsi:type="dcterms:W3CDTF">2017-12-14T11:51:00Z</dcterms:created>
  <dcterms:modified xsi:type="dcterms:W3CDTF">2020-03-13T10:48:00Z</dcterms:modified>
</cp:coreProperties>
</file>